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二十编  第1册  “立象尽意”之构筑原则  中国“象”论诗学的美学阐释</w:t>
      </w:r>
    </w:p>
    <w:p>
      <w:r>
        <w:rPr>
          <w:rFonts w:ascii="宋体" w:hAnsi="宋体" w:eastAsia="宋体"/>
          <w:sz w:val="24"/>
        </w:rPr>
        <w:t>高知远著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二十编  第1册  “立象尽意”之构筑原则  中国“象”论诗学的美学阐释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本书出售、求购地址：https://www.jiaokey.com/book/detail/14700940.html</w:t>
      </w:r>
    </w:p>
    <w:p>
      <w:r>
        <w:t>更多相关图书推荐：https://www.jiaokey.com</w:t>
      </w:r>
    </w:p>
    <w:p>
      <w:r>
        <w:t>高知远著 其他作品：https://www.jiaokey.com/tag/高知远著.html</w:t>
      </w:r>
    </w:p>
    <w:p>
      <w:r>
        <w:t>关键词搜索：https://www.jiaokey.com/tag/古典诗歌研究汇刊  二十编  第1册  “立象尽意”之构筑原则  中国“象”论诗学的美学阐释.html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