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八编  第10册  民国文学机制与《小说月报》(1910-1931)研究框架述略</w:t>
      </w:r>
    </w:p>
    <w:p>
      <w:r>
        <w:rPr>
          <w:rFonts w:ascii="宋体" w:hAnsi="宋体" w:eastAsia="宋体"/>
          <w:sz w:val="24"/>
        </w:rPr>
        <w:t>李直飞著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八编  第10册  民国文学机制与《小说月报》(1910-1931)研究框架述略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李直飞著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本书出售、求购地址：https://www.jiaokey.com/book/detail/14700871.html</w:t>
      </w:r>
    </w:p>
    <w:p>
      <w:r>
        <w:t>更多相关图书推荐：https://www.jiaokey.com</w:t>
      </w:r>
    </w:p>
    <w:p>
      <w:r>
        <w:t>李直飞著 其他作品：https://www.jiaokey.com/tag/李直飞著.html</w:t>
      </w:r>
    </w:p>
    <w:p>
      <w:r>
        <w:t>关键词搜索：https://www.jiaokey.com/tag/民国文化与文学研究文丛  八编  第10册  民国文学机制与《小说月报》(1910-1931)研究框架述略.html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