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第17册  文学的战时抒写与传播  抗战时期陪都重庆作家的生存状态与创作心理研究  下</w:t>
      </w:r>
    </w:p>
    <w:p>
      <w:r>
        <w:rPr>
          <w:rFonts w:ascii="宋体" w:hAnsi="宋体" w:eastAsia="宋体"/>
          <w:sz w:val="24"/>
        </w:rPr>
        <w:t>王鸣剑著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第17册  文学的战时抒写与传播  抗战时期陪都重庆作家的生存状态与创作心理研究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本书出售、求购地址：https://www.jiaokey.com/book/detail/14700847.html</w:t>
      </w:r>
    </w:p>
    <w:p>
      <w:r>
        <w:t>更多相关图书推荐：https://www.jiaokey.com</w:t>
      </w:r>
    </w:p>
    <w:p>
      <w:r>
        <w:t>王鸣剑著 其他作品：https://www.jiaokey.com/tag/王鸣剑著.html</w:t>
      </w:r>
    </w:p>
    <w:p>
      <w:r>
        <w:t>关键词搜索：https://www.jiaokey.com/tag/民国文化与文学研究文丛  七编  第17册  文学的战时抒写与传播  抗战时期陪都重庆作家的生存状态与创作心理研究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