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二八编  第4册  两汉祀权思想研究  以《春秋》和《礼记》中郊庙二祭之经典诠释为例  上</w:t>
      </w:r>
    </w:p>
    <w:p>
      <w:r>
        <w:rPr>
          <w:rFonts w:ascii="宋体" w:hAnsi="宋体" w:eastAsia="宋体"/>
          <w:sz w:val="24"/>
        </w:rPr>
        <w:t>陈惠玲著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二八编  第4册  两汉祀权思想研究  以《春秋》和《礼记》中郊庙二祭之经典诠释为例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本书出售、求购地址：https://www.jiaokey.com/book/detail/14699155.html</w:t>
      </w:r>
    </w:p>
    <w:p>
      <w:r>
        <w:t>更多相关图书推荐：https://www.jiaokey.com</w:t>
      </w:r>
    </w:p>
    <w:p>
      <w:r>
        <w:t>陈惠玲著 其他作品：https://www.jiaokey.com/tag/陈惠玲著.html</w:t>
      </w:r>
    </w:p>
    <w:p>
      <w:r>
        <w:t>关键词搜索：https://www.jiaokey.com/tag/中国学术思想研究辑刊  二八编  第4册  两汉祀权思想研究  以《春秋》和《礼记》中郊庙二祭之经典诠释为例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