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二三编  第5册  先秦至魏晋孔子形象之道家化历程  兼论儒道关系  下</w:t>
      </w:r>
    </w:p>
    <w:p>
      <w:r>
        <w:rPr>
          <w:rFonts w:ascii="宋体" w:hAnsi="宋体" w:eastAsia="宋体"/>
          <w:sz w:val="24"/>
        </w:rPr>
        <w:t>郑倩琳著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二三编  第5册  先秦至魏晋孔子形象之道家化历程  兼论儒道关系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郑倩琳著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本书出售、求购地址：https://www.jiaokey.com/book/detail/14699090.html</w:t>
      </w:r>
    </w:p>
    <w:p>
      <w:r>
        <w:t>更多相关图书推荐：https://www.jiaokey.com</w:t>
      </w:r>
    </w:p>
    <w:p>
      <w:r>
        <w:t>郑倩琳著 其他作品：https://www.jiaokey.com/tag/郑倩琳著.html</w:t>
      </w:r>
    </w:p>
    <w:p>
      <w:r>
        <w:t>关键词搜索：https://www.jiaokey.com/tag/中国学术思想研究辑刊  二三编  第5册  先秦至魏晋孔子形象之道家化历程  兼论儒道关系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