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45  (民国二十九年十二月至三十年三月)</w:t>
      </w:r>
    </w:p>
    <w:p>
      <w:r>
        <w:rPr>
          <w:rFonts w:ascii="宋体" w:hAnsi="宋体" w:eastAsia="宋体"/>
          <w:sz w:val="24"/>
        </w:rPr>
        <w:t>蔡盛琦编辑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45  (民国二十九年十二月至三十年三月)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蔡盛琦编辑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本书出售、求购地址：https://www.jiaokey.com/book/detail/14698716.html</w:t>
      </w:r>
    </w:p>
    <w:p>
      <w:r>
        <w:t>更多相关图书推荐：https://www.jiaokey.com</w:t>
      </w:r>
    </w:p>
    <w:p>
      <w:r>
        <w:t>蔡盛琦编辑 其他作品：https://www.jiaokey.com/tag/蔡盛琦编辑.html</w:t>
      </w:r>
    </w:p>
    <w:p>
      <w:r>
        <w:t>国史馆 出版图书：https://www.jiaokey.com/tag/国史馆.html</w:t>
      </w:r>
    </w:p>
    <w:p>
      <w:r>
        <w:t>关键词搜索：https://www.jiaokey.com/tag/蒋中正总统档案  45  (民国二十九年十二月至三十年三月).html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