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西门子SIMATIC  WINCC使用指南  上</w:t>
      </w:r>
    </w:p>
    <w:p>
      <w:r>
        <w:rPr>
          <w:rFonts w:ascii="宋体" w:hAnsi="宋体" w:eastAsia="宋体"/>
          <w:sz w:val="24"/>
        </w:rPr>
        <w:t>西门子（中国）有限公司组编；陈华主编；雷鸣，朱飞翔，张占领副主编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西门子SIMATIC  WINCC使用指南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西门子（中国）有限公司组编；陈华主编；雷鸣，朱飞翔，张占领副主编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本书出售、求购地址：https://www.jiaokey.com/book/detail/14697078.html</w:t>
      </w:r>
    </w:p>
    <w:p>
      <w:r>
        <w:t>更多相关图书推荐：https://www.jiaokey.com</w:t>
      </w:r>
    </w:p>
    <w:p>
      <w:r>
        <w:t>西门子（中国）有限公司组编；陈华主编；雷鸣，朱飞翔，张占领副主编 其他作品：https://www.jiaokey.com/tag/西门子（中国）有限公司组编；陈华主编；雷鸣，朱飞翔，张占领副主编.html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关键词搜索：https://www.jiaokey.com/tag/西门子SIMATIC  WINCC使用指南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