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黑龙江法院审判参考丛书  公司案件审判参考</w:t>
      </w:r>
    </w:p>
    <w:p>
      <w:r>
        <w:rPr>
          <w:rFonts w:ascii="宋体" w:hAnsi="宋体" w:eastAsia="宋体"/>
          <w:sz w:val="24"/>
        </w:rPr>
        <w:t>孙天文，解恒奎，董新辉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黑龙江法院审判参考丛书  公司案件审判参考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孙天文，解恒奎，董新辉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本书出售、求购地址：https://www.jiaokey.com/book/detail/14696480.html</w:t>
      </w:r>
    </w:p>
    <w:p>
      <w:r>
        <w:t>更多相关图书推荐：https://www.jiaokey.com</w:t>
      </w:r>
    </w:p>
    <w:p>
      <w:r>
        <w:t>孙天文，解恒奎，董新辉 其他作品：https://www.jiaokey.com/tag/孙天文，解恒奎，董新辉.html</w:t>
      </w:r>
    </w:p>
    <w:p>
      <w:r>
        <w:t>北京：人民法院 出版图书：https://www.jiaokey.com/tag/北京：人民法院.html</w:t>
      </w:r>
    </w:p>
    <w:p>
      <w:r>
        <w:t>关键词搜索：https://www.jiaokey.com/tag/黑龙江法院审判参考丛书  公司案件审判参考.html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