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中国民事再审程序运行状况实证研究</w:t>
      </w:r>
    </w:p>
    <w:p>
      <w:r>
        <w:rPr>
          <w:rFonts w:ascii="宋体" w:hAnsi="宋体" w:eastAsia="宋体"/>
          <w:sz w:val="24"/>
        </w:rPr>
        <w:t>潘庆林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中国民事再审程序运行状况实证研究</w:t>
            </w:r>
          </w:p>
        </w:tc>
      </w:tr>
      <w:tr>
        <w:tc>
          <w:tcPr>
            <w:tcW w:type="dxa" w:w="4320"/>
          </w:tcPr>
          <w:p>
            <w:r>
              <w:t>作者</w:t>
            </w:r>
          </w:p>
        </w:tc>
        <w:tc>
          <w:tcPr>
            <w:tcW w:type="dxa" w:w="4320"/>
          </w:tcPr>
          <w:p>
            <w:r>
              <w:t>潘庆林</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9787519718633</w:t>
            </w:r>
          </w:p>
        </w:tc>
      </w:tr>
      <w:tr>
        <w:tc>
          <w:tcPr>
            <w:tcW w:type="dxa" w:w="4320"/>
          </w:tcPr>
          <w:p>
            <w:r>
              <w:t>出版日期</w:t>
            </w:r>
          </w:p>
        </w:tc>
        <w:tc>
          <w:tcPr>
            <w:tcW w:type="dxa" w:w="4320"/>
          </w:tcPr>
          <w:p>
            <w:r>
              <w:t>2017-12-01</w:t>
            </w:r>
          </w:p>
        </w:tc>
      </w:tr>
      <w:tr>
        <w:tc>
          <w:tcPr>
            <w:tcW w:type="dxa" w:w="4320"/>
          </w:tcPr>
          <w:p>
            <w:r>
              <w:t>页数</w:t>
            </w:r>
          </w:p>
        </w:tc>
        <w:tc>
          <w:tcPr>
            <w:tcW w:type="dxa" w:w="4320"/>
          </w:tcPr>
          <w:p>
            <w:r>
              <w:t>281</w:t>
            </w:r>
          </w:p>
        </w:tc>
      </w:tr>
      <w:tr>
        <w:tc>
          <w:tcPr>
            <w:tcW w:type="dxa" w:w="4320"/>
          </w:tcPr>
          <w:p>
            <w:r>
              <w:t>价格</w:t>
            </w:r>
          </w:p>
        </w:tc>
        <w:tc>
          <w:tcPr>
            <w:tcW w:type="dxa" w:w="4320"/>
          </w:tcPr>
          <w:p>
            <w:r/>
          </w:p>
        </w:tc>
      </w:tr>
      <w:tr>
        <w:tc>
          <w:tcPr>
            <w:tcW w:type="dxa" w:w="4320"/>
          </w:tcPr>
          <w:p>
            <w:r>
              <w:t>关键词</w:t>
            </w:r>
          </w:p>
        </w:tc>
        <w:tc>
          <w:tcPr>
            <w:tcW w:type="dxa" w:w="4320"/>
          </w:tcPr>
          <w:p>
            <w:r>
              <w:t>民事诉讼-再审-研究-中国</w:t>
            </w:r>
          </w:p>
        </w:tc>
      </w:tr>
      <w:tr>
        <w:tc>
          <w:tcPr>
            <w:tcW w:type="dxa" w:w="4320"/>
          </w:tcPr>
          <w:p>
            <w:r>
              <w:t>分类</w:t>
            </w:r>
          </w:p>
        </w:tc>
        <w:tc>
          <w:tcPr>
            <w:tcW w:type="dxa" w:w="4320"/>
          </w:tcPr>
          <w:p>
            <w:r>
              <w:t>诉讼法</w:t>
            </w:r>
          </w:p>
        </w:tc>
      </w:tr>
    </w:tbl>
    <w:p/>
    <w:p>
      <w:pPr>
        <w:pStyle w:val="Heading1"/>
      </w:pPr>
      <w:r>
        <w:t>图书介绍</w:t>
      </w:r>
    </w:p>
    <w:p>
      <w:r>
        <w:t>本书从申诉、申请再审的路径、对象、数量、类型、程序、结果和效果等七个方面对对象法院再审程序的实际运行状况展开描述与分析。作者认为立法虽然对再审事由进行了明确的规定，借此在再审程序的第一关口实施“诉访分离”，但分离并不彻底，诉访交织、混合的状况仍然存在。关于再审管辖，立法机关为了增强当事人的信赖感，显示解决申诉难问题的决心，规定了申请再审上提一级管辖，结果导致了大量案件聚集在高层级法院。纠纷并没有得到实际解决，还引发了一系列的新问题。在本案审理程序中，由于事由审查与本案审理两个阶段的割裂等原因，出现了重复</w:t>
      </w:r>
    </w:p>
    <w:p/>
    <w:p>
      <w:r>
        <w:t>本书出售、求购地址：https://www.jiaokey.com/book/detail/14694908.html</w:t>
      </w:r>
    </w:p>
    <w:p>
      <w:r>
        <w:t>更多诉讼法图书推荐：https://www.jiaokey.com</w:t>
      </w:r>
    </w:p>
    <w:p>
      <w:r>
        <w:t>潘庆林 其他作品：https://www.jiaokey.com/tag/潘庆林.html</w:t>
      </w:r>
    </w:p>
    <w:p>
      <w:r>
        <w:t>北京：法律出版社 出版图书：https://www.jiaokey.com/tag/北京：法律出版社.html</w:t>
      </w:r>
    </w:p>
    <w:p>
      <w:r>
        <w:t>关键词搜索：https://www.jiaokey.com/tag/民事诉讼-再审-研究-中国.html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