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浙江吹打乐与宗族认同  祭祖、丧葬仪式用乐研究</w:t>
      </w:r>
    </w:p>
    <w:p>
      <w:r>
        <w:rPr>
          <w:rFonts w:ascii="宋体" w:hAnsi="宋体" w:eastAsia="宋体"/>
          <w:sz w:val="24"/>
        </w:rPr>
        <w:t>廖松清著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浙江吹打乐与宗族认同  祭祖、丧葬仪式用乐研究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本书出售、求购地址：https://www.jiaokey.com/book/detail/14692929.html</w:t>
      </w:r>
    </w:p>
    <w:p>
      <w:r>
        <w:t>更多相关图书推荐：https://www.jiaokey.com</w:t>
      </w:r>
    </w:p>
    <w:p>
      <w:r>
        <w:t>廖松清著 其他作品：https://www.jiaokey.com/tag/廖松清著.html</w:t>
      </w:r>
    </w:p>
    <w:p>
      <w:r>
        <w:t>关键词搜索：https://www.jiaokey.com/tag/浙江吹打乐与宗族认同  祭祖、丧葬仪式用乐研究.html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