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和风细雨润童心  小学“德育系列化主题教育月”实施方案及案例集锦</w:t>
      </w:r>
    </w:p>
    <w:p>
      <w:r>
        <w:rPr>
          <w:rFonts w:ascii="宋体" w:hAnsi="宋体" w:eastAsia="宋体"/>
          <w:sz w:val="24"/>
        </w:rPr>
        <w:t>李凤真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和风细雨润童心  小学“德育系列化主题教育月”实施方案及案例集锦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李凤真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济南：济南出版社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本书出售、求购地址：https://www.jiaokey.com/book/detail/14691078.html</w:t>
      </w:r>
    </w:p>
    <w:p>
      <w:r>
        <w:t>更多相关图书推荐：https://www.jiaokey.com</w:t>
      </w:r>
    </w:p>
    <w:p>
      <w:r>
        <w:t>李凤真 其他作品：https://www.jiaokey.com/tag/李凤真.html</w:t>
      </w:r>
    </w:p>
    <w:p>
      <w:r>
        <w:t>济南：济南出版社 出版图书：https://www.jiaokey.com/tag/济南：济南出版社.html</w:t>
      </w:r>
    </w:p>
    <w:p>
      <w:r>
        <w:t>关键词搜索：https://www.jiaokey.com/tag/和风细雨润童心  小学“德育系列化主题教育月”实施方案及案例集锦.html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