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新老造山带的深部结构特征  以华南和青藏高原西部为例</w:t>
      </w:r>
    </w:p>
    <w:p>
      <w:r>
        <w:rPr>
          <w:rFonts w:ascii="宋体" w:hAnsi="宋体" w:eastAsia="宋体"/>
          <w:sz w:val="24"/>
        </w:rPr>
        <w:t>刘石年责任编辑；王敏玲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新老造山带的深部结构特征  以华南和青藏高原西部为例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刘石年责任编辑；王敏玲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本书出售、求购地址：https://www.jiaokey.com/book/detail/14687813.html</w:t>
      </w:r>
    </w:p>
    <w:p>
      <w:r>
        <w:t>更多相关图书推荐：https://www.jiaokey.com</w:t>
      </w:r>
    </w:p>
    <w:p>
      <w:r>
        <w:t>刘石年责任编辑；王敏玲 其他作品：https://www.jiaokey.com/tag/刘石年责任编辑；王敏玲.html</w:t>
      </w:r>
    </w:p>
    <w:p>
      <w:r>
        <w:t>中南大学出版社 出版图书：https://www.jiaokey.com/tag/中南大学出版社.html</w:t>
      </w:r>
    </w:p>
    <w:p>
      <w:r>
        <w:t>关键词搜索：https://www.jiaokey.com/tag/新老造山带的深部结构特征  以华南和青藏高原西部为例.html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