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RAC 12.2架构高可用数据库权威指南</w:t>
      </w:r>
    </w:p>
    <w:p>
      <w:r>
        <w:rPr>
          <w:rFonts w:ascii="宋体" w:hAnsi="宋体" w:eastAsia="宋体"/>
          <w:sz w:val="24"/>
        </w:rPr>
        <w:t>（印）K.柯普莱克里什汗（K.Gopalakrishnan），（美）山姆·R.阿拉帕提（SamR.Alapati）著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RAC 12.2架构高可用数据库权威指南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（印）K.柯普莱克里什汗（K.Gopalakrishnan），（美）山姆·R.阿拉帕提（SamR.Alapati）著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本书出售、求购地址：https://www.jiaokey.com/book/detail/14687468.html</w:t>
      </w:r>
    </w:p>
    <w:p>
      <w:r>
        <w:t>更多相关图书推荐：https://www.jiaokey.com</w:t>
      </w:r>
    </w:p>
    <w:p>
      <w:r>
        <w:t>（印）K.柯普莱克里什汗（K.Gopalakrishnan），（美）山姆·R.阿拉帕提（SamR.Alapati）著 其他作品：https://www.jiaokey.com/tag/（印）K.柯普莱克里什汗（K.Gopalakrishnan），（美）山姆·R.阿拉帕提（SamR.Alapati）著.html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RAC 12.2架构高可用数据库权威指南.html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