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世界华侨华人研究文库·第四批  全球化下的侨民战略与发展研究  以美国、爱尔兰和印度为例</w:t>
      </w:r>
    </w:p>
    <w:p>
      <w:r>
        <w:rPr>
          <w:rFonts w:ascii="宋体" w:hAnsi="宋体" w:eastAsia="宋体"/>
          <w:sz w:val="24"/>
        </w:rPr>
        <w:t>吴金平，王慧英，叶小利，田自立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世界华侨华人研究文库·第四批  全球化下的侨民战略与发展研究  以美国、爱尔兰和印度为例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吴金平，王慧英，叶小利，田自立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本书出售、求购地址：https://www.jiaokey.com/book/detail/14684897.html</w:t>
      </w:r>
    </w:p>
    <w:p>
      <w:r>
        <w:t>更多相关图书推荐：https://www.jiaokey.com</w:t>
      </w:r>
    </w:p>
    <w:p>
      <w:r>
        <w:t>吴金平，王慧英，叶小利，田自立 其他作品：https://www.jiaokey.com/tag/吴金平，王慧英，叶小利，田自立.html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关键词搜索：https://www.jiaokey.com/tag/世界华侨华人研究文库·第四批  全球化下的侨民战略与发展研究  以美国、爱尔兰和印度为例.html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