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世界贸易组织法原理  下</w:t>
      </w:r>
    </w:p>
    <w:p>
      <w:r>
        <w:rPr>
          <w:rFonts w:ascii="宋体" w:hAnsi="宋体" w:eastAsia="宋体"/>
          <w:sz w:val="24"/>
        </w:rPr>
        <w:t>（比）彼得·范德博思，单文华著；尚宽，贺艳译；单文华译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（比）彼得·范德博思，单文华著；尚宽，贺艳译；单文华译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本书出售、求购地址：https://www.jiaokey.com/book/detail/14683421.html</w:t>
      </w:r>
    </w:p>
    <w:p>
      <w:r>
        <w:t>更多相关图书推荐：https://www.jiaokey.com</w:t>
      </w:r>
    </w:p>
    <w:p>
      <w:r>
        <w:t>（比）彼得·范德博思，单文华著；尚宽，贺艳译；单文华译 其他作品：https://www.jiaokey.com/tag/（比）彼得·范德博思，单文华著；尚宽，贺艳译；单文华译.html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关键词搜索：https://www.jiaokey.com/tag/世界贸易组织法原理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