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共和国教育公平之路</w:t>
      </w:r>
    </w:p>
    <w:p>
      <w:r>
        <w:rPr>
          <w:rFonts w:ascii="宋体" w:hAnsi="宋体" w:eastAsia="宋体"/>
          <w:sz w:val="24"/>
        </w:rPr>
        <w:t>黄诗韵，魏锦，袁梦清，张俊玲，王焰责任编辑；（中国）袁振国，翟博，杨银付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共和国教育公平之路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黄诗韵，魏锦，袁梦清，张俊玲，王焰责任编辑；（中国）袁振国，翟博，杨银付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本书出售、求购地址：https://www.jiaokey.com/book/detail/14682247.html</w:t>
      </w:r>
    </w:p>
    <w:p>
      <w:r>
        <w:t>更多相关图书推荐：https://www.jiaokey.com</w:t>
      </w:r>
    </w:p>
    <w:p>
      <w:r>
        <w:t>黄诗韵，魏锦，袁梦清，张俊玲，王焰责任编辑；（中国）袁振国，翟博，杨银付 其他作品：https://www.jiaokey.com/tag/黄诗韵，魏锦，袁梦清，张俊玲，王焰责任编辑；（中国）袁振国，翟博，杨银付.html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关键词搜索：https://www.jiaokey.com/tag/共和国教育公平之路.html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