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城镇化视角下我国职业教育供给与需求协调发展路径研究</w:t>
      </w:r>
    </w:p>
    <w:p>
      <w:r>
        <w:rPr>
          <w:rFonts w:ascii="宋体" w:hAnsi="宋体" w:eastAsia="宋体"/>
          <w:sz w:val="24"/>
        </w:rPr>
        <w:t>李慧风著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城镇化视角下我国职业教育供给与需求协调发展路径研究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李慧风著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本书出售、求购地址：https://www.jiaokey.com/book/detail/14682197.html</w:t>
      </w:r>
    </w:p>
    <w:p>
      <w:r>
        <w:t>更多相关图书推荐：https://www.jiaokey.com</w:t>
      </w:r>
    </w:p>
    <w:p>
      <w:r>
        <w:t>李慧风著 其他作品：https://www.jiaokey.com/tag/李慧风著.html</w:t>
      </w:r>
    </w:p>
    <w:p>
      <w:r>
        <w:t>中国财富出版社 出版图书：https://www.jiaokey.com/tag/中国财富出版社.html</w:t>
      </w:r>
    </w:p>
    <w:p>
      <w:r>
        <w:t>关键词搜索：https://www.jiaokey.com/tag/城镇化视角下我国职业教育供给与需求协调发展路径研究.html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