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尼采如何克服历史主义  采扎拉图斯特拉如是说讲疏</w:t>
      </w:r>
    </w:p>
    <w:p>
      <w:r>
        <w:rPr>
          <w:rFonts w:ascii="宋体" w:hAnsi="宋体" w:eastAsia="宋体"/>
          <w:sz w:val="24"/>
        </w:rPr>
        <w:t>彭文曼，倪为国责任编辑；马勇译；（美国）理查德·维克利，列奥·施特劳斯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尼采如何克服历史主义  采扎拉图斯特拉如是说讲疏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彭文曼，倪为国责任编辑；马勇译；（美国）理查德·维克利，列奥·施特劳斯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本书出售、求购地址：https://www.jiaokey.com/book/detail/14682120.html</w:t>
      </w:r>
    </w:p>
    <w:p>
      <w:r>
        <w:t>更多相关图书推荐：https://www.jiaokey.com</w:t>
      </w:r>
    </w:p>
    <w:p>
      <w:r>
        <w:t>彭文曼，倪为国责任编辑；马勇译；（美国）理查德·维克利，列奥·施特劳斯 其他作品：https://www.jiaokey.com/tag/彭文曼，倪为国责任编辑；马勇译；（美国）理查德·维克利，列奥·施特劳斯.html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关键词搜索：https://www.jiaokey.com/tag/尼采如何克服历史主义  采扎拉图斯特拉如是说讲疏.html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