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金融企业会计核算与纳税实务  业务精讲  实务应用  经典案例</w:t>
      </w:r>
    </w:p>
    <w:p>
      <w:r>
        <w:rPr>
          <w:rFonts w:ascii="宋体" w:hAnsi="宋体" w:eastAsia="宋体"/>
          <w:sz w:val="24"/>
        </w:rPr>
        <w:t>李士振责任编辑；金融企业会计编审委员会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金融企业会计核算与纳税实务  业务精讲  实务应用  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李士振责任编辑；金融企业会计编审委员会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本书出售、求购地址：https://www.jiaokey.com/book/detail/14679619.html</w:t>
      </w:r>
    </w:p>
    <w:p>
      <w:r>
        <w:t>更多相关图书推荐：https://www.jiaokey.com</w:t>
      </w:r>
    </w:p>
    <w:p>
      <w:r>
        <w:t>李士振责任编辑；金融企业会计编审委员会 其他作品：https://www.jiaokey.com/tag/李士振责任编辑；金融企业会计编审委员会.html</w:t>
      </w:r>
    </w:p>
    <w:p>
      <w:r>
        <w:t>人民邮电出版社 出版图书：https://www.jiaokey.com/tag/人民邮电出版社.html</w:t>
      </w:r>
    </w:p>
    <w:p>
      <w:r>
        <w:t>关键词搜索：https://www.jiaokey.com/tag/金融企业会计核算与纳税实务  业务精讲  实务应用  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