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武宫正树的围棋形势判断  围棋大局观是这样练成的</w:t>
      </w:r>
    </w:p>
    <w:p>
      <w:r>
        <w:rPr>
          <w:rFonts w:ascii="宋体" w:hAnsi="宋体" w:eastAsia="宋体"/>
          <w:sz w:val="24"/>
        </w:rPr>
        <w:t>（日）武宫正树著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武宫正树的围棋形势判断  围棋大局观是这样练成的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本书出售、求购地址：https://www.jiaokey.com/book/detail/14678603.html</w:t>
      </w:r>
    </w:p>
    <w:p>
      <w:r>
        <w:t>更多相关图书推荐：https://www.jiaokey.com</w:t>
      </w:r>
    </w:p>
    <w:p>
      <w:r>
        <w:t>（日）武宫正树著 其他作品：https://www.jiaokey.com/tag/（日）武宫正树著.html</w:t>
      </w:r>
    </w:p>
    <w:p>
      <w:r>
        <w:t>关键词搜索：https://www.jiaokey.com/tag/武宫正树的围棋形势判断  围棋大局观是这样练成的.html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