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西南“三江”成矿带北段成矿地质背景及成矿规律</w:t>
      </w:r>
    </w:p>
    <w:p>
      <w:r>
        <w:rPr>
          <w:rFonts w:ascii="宋体" w:hAnsi="宋体" w:eastAsia="宋体"/>
          <w:sz w:val="24"/>
        </w:rPr>
        <w:t>何世平著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西南“三江”成矿带北段成矿地质背景及成矿规律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本书出售、求购地址：https://www.jiaokey.com/book/detail/14677924.html</w:t>
      </w:r>
    </w:p>
    <w:p>
      <w:r>
        <w:t>更多相关图书推荐：https://www.jiaokey.com</w:t>
      </w:r>
    </w:p>
    <w:p>
      <w:r>
        <w:t>何世平著 其他作品：https://www.jiaokey.com/tag/何世平著.html</w:t>
      </w:r>
    </w:p>
    <w:p>
      <w:r>
        <w:t>科学出版社 出版图书：https://www.jiaokey.com/tag/科学出版社.html</w:t>
      </w:r>
    </w:p>
    <w:p>
      <w:r>
        <w:t>关键词搜索：https://www.jiaokey.com/tag/西南“三江”成矿带北段成矿地质背景及成矿规律.html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