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带传动系统的非线性机电耦联振动</w:t>
      </w:r>
    </w:p>
    <w:p>
      <w:r>
        <w:rPr>
          <w:rFonts w:ascii="宋体" w:hAnsi="宋体" w:eastAsia="宋体"/>
          <w:sz w:val="24"/>
        </w:rPr>
        <w:t>（中国）李高峰，杨志安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带传动系统的非线性机电耦联振动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（中国）李高峰，杨志安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本书出售、求购地址：https://www.jiaokey.com/book/detail/14677872.html</w:t>
      </w:r>
    </w:p>
    <w:p>
      <w:r>
        <w:t>更多相关图书推荐：https://www.jiaokey.com</w:t>
      </w:r>
    </w:p>
    <w:p>
      <w:r>
        <w:t>（中国）李高峰，杨志安 其他作品：https://www.jiaokey.com/tag/（中国）李高峰，杨志安.html</w:t>
      </w:r>
    </w:p>
    <w:p>
      <w:r>
        <w:t>黄河水利出版社 出版图书：https://www.jiaokey.com/tag/黄河水利出版社.html</w:t>
      </w:r>
    </w:p>
    <w:p>
      <w:r>
        <w:t>关键词搜索：https://www.jiaokey.com/tag/带传动系统的非线性机电耦联振动.html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