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动态光学补偿定向基准研究</w:t>
      </w:r>
    </w:p>
    <w:p>
      <w:r>
        <w:rPr>
          <w:rFonts w:ascii="宋体" w:hAnsi="宋体" w:eastAsia="宋体"/>
          <w:sz w:val="24"/>
        </w:rPr>
        <w:t>（中国）郑阳，王加科，张磊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动态光学补偿定向基准研究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（中国）郑阳，王加科，张磊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本书出售、求购地址：https://www.jiaokey.com/book/detail/14676618.html</w:t>
      </w:r>
    </w:p>
    <w:p>
      <w:r>
        <w:t>更多相关图书推荐：https://www.jiaokey.com</w:t>
      </w:r>
    </w:p>
    <w:p>
      <w:r>
        <w:t>（中国）郑阳，王加科，张磊 其他作品：https://www.jiaokey.com/tag/（中国）郑阳，王加科，张磊.html</w:t>
      </w:r>
    </w:p>
    <w:p>
      <w:r>
        <w:t>机械工业出版社 出版图书：https://www.jiaokey.com/tag/机械工业出版社.html</w:t>
      </w:r>
    </w:p>
    <w:p>
      <w:r>
        <w:t>关键词搜索：https://www.jiaokey.com/tag/动态光学补偿定向基准研究.html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