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农作物害虫食源诱控技术</w:t>
      </w:r>
    </w:p>
    <w:p>
      <w:r>
        <w:rPr>
          <w:rFonts w:ascii="宋体" w:hAnsi="宋体" w:eastAsia="宋体"/>
          <w:sz w:val="24"/>
        </w:rPr>
        <w:t>全国农业技术推广服务中心组编；杨普云，李萍，王立颖，肖春主编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农作物害虫食源诱控技术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全国农业技术推广服务中心组编；杨普云，李萍，王立颖，肖春主编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本书出售、求购地址：https://www.jiaokey.com/book/detail/14676568.html</w:t>
      </w:r>
    </w:p>
    <w:p>
      <w:r>
        <w:t>更多相关图书推荐：https://www.jiaokey.com</w:t>
      </w:r>
    </w:p>
    <w:p>
      <w:r>
        <w:t>全国农业技术推广服务中心组编；杨普云，李萍，王立颖，肖春主编 其他作品：https://www.jiaokey.com/tag/全国农业技术推广服务中心组编；杨普云，李萍，王立颖，肖春主编.html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关键词搜索：https://www.jiaokey.com/tag/农作物害虫食源诱控技术.html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