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管弦乐配器  分析习题</w:t>
      </w:r>
    </w:p>
    <w:p>
      <w:r>
        <w:rPr>
          <w:rFonts w:ascii="宋体" w:hAnsi="宋体" w:eastAsia="宋体"/>
          <w:sz w:val="24"/>
        </w:rPr>
        <w:t>强增抗编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管弦乐配器  分析习题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强增抗编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本书出售、求购地址：https://www.jiaokey.com/book/detail/14675768.html</w:t>
      </w:r>
    </w:p>
    <w:p>
      <w:r>
        <w:t>更多相关图书推荐：https://www.jiaokey.com</w:t>
      </w:r>
    </w:p>
    <w:p>
      <w:r>
        <w:t>强增抗编 其他作品：https://www.jiaokey.com/tag/强增抗编.html</w:t>
      </w:r>
    </w:p>
    <w:p>
      <w:r>
        <w:t>西安音乐学院教材 出版图书：https://www.jiaokey.com/tag/西安音乐学院教材.html</w:t>
      </w:r>
    </w:p>
    <w:p>
      <w:r>
        <w:t>关键词搜索：https://www.jiaokey.com/tag/管弦乐配器  分析习题.html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