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法律修辞研究  第5卷</w:t>
      </w:r>
    </w:p>
    <w:p>
      <w:r>
        <w:rPr>
          <w:rFonts w:ascii="宋体" w:hAnsi="宋体" w:eastAsia="宋体"/>
          <w:sz w:val="24"/>
        </w:rPr>
        <w:t>陈金钊主编；俞海涛执行主编；栾绍兴，杨铜铜，邹鹏执行编辑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法律修辞研究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陈金钊主编；俞海涛执行主编；栾绍兴，杨铜铜，邹鹏执行编辑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本书出售、求购地址：https://www.jiaokey.com/book/detail/14675196.html</w:t>
      </w:r>
    </w:p>
    <w:p>
      <w:r>
        <w:t>更多相关图书推荐：https://www.jiaokey.com</w:t>
      </w:r>
    </w:p>
    <w:p>
      <w:r>
        <w:t>陈金钊主编；俞海涛执行主编；栾绍兴，杨铜铜，邹鹏执行编辑 其他作品：https://www.jiaokey.com/tag/陈金钊主编；俞海涛执行主编；栾绍兴，杨铜铜，邹鹏执行编辑.html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关键词搜索：https://www.jiaokey.com/tag/法律修辞研究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