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精品案例解析与法理研究</w:t>
      </w:r>
    </w:p>
    <w:p>
      <w:r>
        <w:rPr>
          <w:rFonts w:ascii="宋体" w:hAnsi="宋体" w:eastAsia="宋体"/>
          <w:sz w:val="24"/>
        </w:rPr>
        <w:t>浙江海泰律师事务所组织编写；邬辉林主编；吕甲木执行主编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精品案例解析与法理研究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浙江海泰律师事务所组织编写；邬辉林主编；吕甲木执行主编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本书出售、求购地址：https://www.jiaokey.com/book/detail/14674278.html</w:t>
      </w:r>
    </w:p>
    <w:p>
      <w:r>
        <w:t>更多相关图书推荐：https://www.jiaokey.com</w:t>
      </w:r>
    </w:p>
    <w:p>
      <w:r>
        <w:t>浙江海泰律师事务所组织编写；邬辉林主编；吕甲木执行主编 其他作品：https://www.jiaokey.com/tag/浙江海泰律师事务所组织编写；邬辉林主编；吕甲木执行主编.html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关键词搜索：https://www.jiaokey.com/tag/精品案例解析与法理研究.html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