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影视技术培训教材题解  影视道具  7</w:t>
      </w:r>
    </w:p>
    <w:p>
      <w:r>
        <w:rPr>
          <w:rFonts w:ascii="宋体" w:hAnsi="宋体" w:eastAsia="宋体"/>
          <w:sz w:val="24"/>
        </w:rPr>
        <w:t>张先春，李玉祥编著；广播电影电视部人事司编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影视技术培训教材题解  影视道具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张先春，李玉祥编著；广播电影电视部人事司编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本书出售、求购地址：https://www.jiaokey.com/book/detail/14673917.html</w:t>
      </w:r>
    </w:p>
    <w:p>
      <w:r>
        <w:t>更多相关图书推荐：https://www.jiaokey.com</w:t>
      </w:r>
    </w:p>
    <w:p>
      <w:r>
        <w:t>张先春，李玉祥编著；广播电影电视部人事司编 其他作品：https://www.jiaokey.com/tag/张先春，李玉祥编著；广播电影电视部人事司编.html</w:t>
      </w:r>
    </w:p>
    <w:p>
      <w:r>
        <w:t>关键词搜索：https://www.jiaokey.com/tag/影视技术培训教材题解  影视道具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