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药食同源植物产业化关键技术研究  以木姜叶柯为例</w:t>
      </w:r>
    </w:p>
    <w:p>
      <w:r>
        <w:rPr>
          <w:rFonts w:ascii="宋体" w:hAnsi="宋体" w:eastAsia="宋体"/>
          <w:sz w:val="24"/>
        </w:rPr>
        <w:t>伍贤进等著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药食同源植物产业化关键技术研究  以木姜叶柯为例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伍贤进等著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本书出售、求购地址：https://www.jiaokey.com/book/detail/14672560.html</w:t>
      </w:r>
    </w:p>
    <w:p>
      <w:r>
        <w:t>更多相关图书推荐：https://www.jiaokey.com</w:t>
      </w:r>
    </w:p>
    <w:p>
      <w:r>
        <w:t>伍贤进等著 其他作品：https://www.jiaokey.com/tag/伍贤进等著.html</w:t>
      </w:r>
    </w:p>
    <w:p>
      <w:r>
        <w:t>关键词搜索：https://www.jiaokey.com/tag/药食同源植物产业化关键技术研究  以木姜叶柯为例.html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