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结构化工作法</w:t>
      </w:r>
    </w:p>
    <w:p>
      <w:r>
        <w:rPr>
          <w:rFonts w:ascii="宋体" w:hAnsi="宋体" w:eastAsia="宋体"/>
          <w:sz w:val="24"/>
        </w:rPr>
        <w:t>张培鑫译；陈宏责任编辑；（日）庄司启太郎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结构化工作法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张培鑫译；陈宏责任编辑；（日）庄司启太郎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本书出售、求购地址：https://www.jiaokey.com/book/detail/14672542.html</w:t>
      </w:r>
    </w:p>
    <w:p>
      <w:r>
        <w:t>更多相关图书推荐：https://www.jiaokey.com</w:t>
      </w:r>
    </w:p>
    <w:p>
      <w:r>
        <w:t>张培鑫译；陈宏责任编辑；（日）庄司启太郎 其他作品：https://www.jiaokey.com/tag/张培鑫译；陈宏责任编辑；（日）庄司启太郎.html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关键词搜索：https://www.jiaokey.com/tag/结构化工作法.html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