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马工程  民事诉讼法学  第2版</w:t>
      </w:r>
    </w:p>
    <w:p>
      <w:r>
        <w:rPr>
          <w:rFonts w:ascii="宋体" w:hAnsi="宋体" w:eastAsia="宋体"/>
          <w:sz w:val="24"/>
        </w:rPr>
        <w:t>《民事诉讼法学》编写组；宋朝武主编；汤维建，李浩副主编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马工程  民事诉讼法学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《民事诉讼法学》编写组；宋朝武主编；汤维建，李浩副主编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本书出售、求购地址：https://www.jiaokey.com/book/detail/14668655.html</w:t>
      </w:r>
    </w:p>
    <w:p>
      <w:r>
        <w:t>更多相关图书推荐：https://www.jiaokey.com</w:t>
      </w:r>
    </w:p>
    <w:p>
      <w:r>
        <w:t>《民事诉讼法学》编写组；宋朝武主编；汤维建，李浩副主编 其他作品：https://www.jiaokey.com/tag/《民事诉讼法学》编写组；宋朝武主编；汤维建，李浩副主编.html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关键词搜索：https://www.jiaokey.com/tag/马工程  民事诉讼法学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