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新民族图案设计教程</w:t>
      </w:r>
    </w:p>
    <w:p>
      <w:r>
        <w:rPr>
          <w:rFonts w:ascii="宋体" w:hAnsi="宋体" w:eastAsia="宋体"/>
          <w:sz w:val="24"/>
        </w:rPr>
        <w:t>回连涛，隋囡，王晶宇，姜山，周睿娇著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新民族图案设计教程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回连涛，隋囡，王晶宇，姜山，周睿娇著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本书出售、求购地址：https://www.jiaokey.com/book/detail/14668510.html</w:t>
      </w:r>
    </w:p>
    <w:p>
      <w:r>
        <w:t>更多相关图书推荐：https://www.jiaokey.com</w:t>
      </w:r>
    </w:p>
    <w:p>
      <w:r>
        <w:t>回连涛，隋囡，王晶宇，姜山，周睿娇著 其他作品：https://www.jiaokey.com/tag/回连涛，隋囡，王晶宇，姜山，周睿娇著.html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关键词搜索：https://www.jiaokey.com/tag/新民族图案设计教程.html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