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城乡规划原理</w:t>
      </w:r>
    </w:p>
    <w:p>
      <w:r>
        <w:rPr>
          <w:rFonts w:ascii="宋体" w:hAnsi="宋体" w:eastAsia="宋体"/>
          <w:sz w:val="24"/>
        </w:rPr>
        <w:t>秦娜，赵从棉责任编辑；（中国）经纬注考（北京）教研中心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秦娜，赵从棉责任编辑；（中国）经纬注考（北京）教研中心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本书出售、求购地址：https://www.jiaokey.com/book/detail/14667831.html</w:t>
      </w:r>
    </w:p>
    <w:p>
      <w:r>
        <w:t>更多相关图书推荐：https://www.jiaokey.com</w:t>
      </w:r>
    </w:p>
    <w:p>
      <w:r>
        <w:t>秦娜，赵从棉责任编辑；（中国）经纬注考（北京）教研中心 其他作品：https://www.jiaokey.com/tag/秦娜，赵从棉责任编辑；（中国）经纬注考（北京）教研中心.html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关键词搜索：https://www.jiaokey.com/tag/城乡规划原理.html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