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差异与重复</w:t>
      </w:r>
    </w:p>
    <w:p>
      <w:r>
        <w:rPr>
          <w:rFonts w:ascii="宋体" w:hAnsi="宋体" w:eastAsia="宋体"/>
          <w:sz w:val="24"/>
        </w:rPr>
        <w:t>倪为国，高建红责任编辑；安靖译；（法）吉尔·德勒兹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差异与重复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倪为国，高建红责任编辑；安靖译；（法）吉尔·德勒兹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本书出售、求购地址：https://www.jiaokey.com/book/detail/14665273.html</w:t>
      </w:r>
    </w:p>
    <w:p>
      <w:r>
        <w:t>更多相关图书推荐：https://www.jiaokey.com</w:t>
      </w:r>
    </w:p>
    <w:p>
      <w:r>
        <w:t>倪为国，高建红责任编辑；安靖译；（法）吉尔·德勒兹 其他作品：https://www.jiaokey.com/tag/倪为国，高建红责任编辑；安靖译；（法）吉尔·德勒兹.html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关键词搜索：https://www.jiaokey.com/tag/差异与重复.html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