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</w:t>
      </w:r>
    </w:p>
    <w:p>
      <w:r>
        <w:rPr>
          <w:rFonts w:ascii="宋体" w:hAnsi="宋体" w:eastAsia="宋体"/>
          <w:sz w:val="24"/>
        </w:rPr>
        <w:t>中国社会科学院国家法治指数研究中心，中国社会科学院法学研究所法治指数创新工程项目组编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中国社会科学院国家法治指数研究中心，中国社会科学院法学研究所法治指数创新工程项目组编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本书出售、求购地址：https://www.jiaokey.com/book/detail/14663303.html</w:t>
      </w:r>
    </w:p>
    <w:p>
      <w:r>
        <w:t>更多相关图书推荐：https://www.jiaokey.com</w:t>
      </w:r>
    </w:p>
    <w:p>
      <w:r>
        <w:t>中国社会科学院国家法治指数研究中心，中国社会科学院法学研究所法治指数创新工程项目组编 其他作品：https://www.jiaokey.com/tag/中国社会科学院国家法治指数研究中心，中国社会科学院法学研究所法治指数创新工程项目组编.html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