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重大工程环境公民行为的驱动因素、管理绩效影响机制及领导策略研究</w:t>
      </w:r>
    </w:p>
    <w:p>
      <w:r>
        <w:rPr>
          <w:rFonts w:ascii="宋体" w:hAnsi="宋体" w:eastAsia="宋体"/>
          <w:sz w:val="24"/>
        </w:rPr>
        <w:t>王歌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重大工程环境公民行为的驱动因素、管理绩效影响机制及领导策略研究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本书出售、求购地址：https://www.jiaokey.com/book/detail/14663189.html</w:t>
      </w:r>
    </w:p>
    <w:p>
      <w:r>
        <w:t>更多相关图书推荐：https://www.jiaokey.com</w:t>
      </w:r>
    </w:p>
    <w:p>
      <w:r>
        <w:t>王歌 其他作品：https://www.jiaokey.com/tag/王歌.html</w:t>
      </w:r>
    </w:p>
    <w:p>
      <w:r>
        <w:t>关键词搜索：https://www.jiaokey.com/tag/重大工程环境公民行为的驱动因素、管理绩效影响机制及领导策略研究.html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