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草原与荒漠</w:t>
      </w:r>
    </w:p>
    <w:p>
      <w:r>
        <w:rPr>
          <w:rFonts w:ascii="宋体" w:hAnsi="宋体" w:eastAsia="宋体"/>
          <w:sz w:val="24"/>
        </w:rPr>
        <w:t>匈牙利图艺公司编绘；王梦彤，曾岩译；王玉山审译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草原与荒漠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匈牙利图艺公司编绘；王梦彤，曾岩译；王玉山审译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本书出售、求购地址：https://www.jiaokey.com/book/detail/14663076.html</w:t>
      </w:r>
    </w:p>
    <w:p>
      <w:r>
        <w:t>更多相关图书推荐：https://www.jiaokey.com</w:t>
      </w:r>
    </w:p>
    <w:p>
      <w:r>
        <w:t>匈牙利图艺公司编绘；王梦彤，曾岩译；王玉山审译 其他作品：https://www.jiaokey.com/tag/匈牙利图艺公司编绘；王梦彤，曾岩译；王玉山审译.html</w:t>
      </w:r>
    </w:p>
    <w:p>
      <w:r>
        <w:t>北京日报出版社 出版图书：https://www.jiaokey.com/tag/北京日报出版社.html</w:t>
      </w:r>
    </w:p>
    <w:p>
      <w:r>
        <w:t>关键词搜索：https://www.jiaokey.com/tag/草原与荒漠.html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