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构成设计</w:t>
      </w:r>
    </w:p>
    <w:p>
      <w:r>
        <w:rPr>
          <w:rFonts w:ascii="宋体" w:hAnsi="宋体" w:eastAsia="宋体"/>
          <w:sz w:val="24"/>
        </w:rPr>
        <w:t>冉健，周启凤主编；马蜻，李婕，伍妍高血压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冉健，周启凤主编；马蜻，李婕，伍妍高血压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本书出售、求购地址：https://www.jiaokey.com/book/detail/14662077.html</w:t>
      </w:r>
    </w:p>
    <w:p>
      <w:r>
        <w:t>更多相关图书推荐：https://www.jiaokey.com</w:t>
      </w:r>
    </w:p>
    <w:p>
      <w:r>
        <w:t>冉健，周启凤主编；马蜻，李婕，伍妍高血压 其他作品：https://www.jiaokey.com/tag/冉健，周启凤主编；马蜻，李婕，伍妍高血压.html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