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中外跨国公司融资理念与方式比较</w:t>
      </w:r>
    </w:p>
    <w:p>
      <w:r>
        <w:rPr>
          <w:rFonts w:ascii="宋体" w:hAnsi="宋体" w:eastAsia="宋体"/>
          <w:sz w:val="24"/>
        </w:rPr>
        <w:t>商务部跨国经营管理人才培训教材编写组编；卢进勇，浦军，杜奇华本书执笔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中外跨国公司融资理念与方式比较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商务部跨国经营管理人才培训教材编写组编；卢进勇，浦军，杜奇华本书执笔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本书出售、求购地址：https://www.jiaokey.com/book/detail/14662001.html</w:t>
      </w:r>
    </w:p>
    <w:p>
      <w:r>
        <w:t>更多相关图书推荐：https://www.jiaokey.com</w:t>
      </w:r>
    </w:p>
    <w:p>
      <w:r>
        <w:t>商务部跨国经营管理人才培训教材编写组编；卢进勇，浦军，杜奇华本书执笔 其他作品：https://www.jiaokey.com/tag/商务部跨国经营管理人才培训教材编写组编；卢进勇，浦军，杜奇华本书执笔.html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关键词搜索：https://www.jiaokey.com/tag/中外跨国公司融资理念与方式比较.html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