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保护层分析  初始事件与独立保护层应用指南</w:t>
      </w:r>
    </w:p>
    <w:p>
      <w:r>
        <w:rPr>
          <w:rFonts w:ascii="宋体" w:hAnsi="宋体" w:eastAsia="宋体"/>
          <w:sz w:val="24"/>
        </w:rPr>
        <w:t>许倩责任编辑；郭小娟，袁小军，刘昳蓉，朱海奇译；（美国）Center for Chemical Process Safety，鲁毅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保护层分析  初始事件与独立保护层应用指南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许倩责任编辑；郭小娟，袁小军，刘昳蓉，朱海奇译；（美国）Center for Chemical Process Safety，鲁毅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本书出售、求购地址：https://www.jiaokey.com/book/detail/14660081.html</w:t>
      </w:r>
    </w:p>
    <w:p>
      <w:r>
        <w:t>更多相关图书推荐：https://www.jiaokey.com</w:t>
      </w:r>
    </w:p>
    <w:p>
      <w:r>
        <w:t>许倩责任编辑；郭小娟，袁小军，刘昳蓉，朱海奇译；（美国）Center for Chemical Process Safety，鲁毅 其他作品：https://www.jiaokey.com/tag/许倩责任编辑；郭小娟，袁小军，刘昳蓉，朱海奇译；（美国）Center for Chemical Process Safety，鲁毅.html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关键词搜索：https://www.jiaokey.com/tag/保护层分析  初始事件与独立保护层应用指南.html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