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标识与身份</w:t>
      </w:r>
    </w:p>
    <w:p>
      <w:r>
        <w:rPr>
          <w:rFonts w:ascii="宋体" w:hAnsi="宋体" w:eastAsia="宋体"/>
          <w:sz w:val="24"/>
        </w:rPr>
        <w:t>（瑞士）赫尔佐格和德梅隆建筑事务所等编；贾子光，周荃译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标识与身份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（瑞士）赫尔佐格和德梅隆建筑事务所等编；贾子光，周荃译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本书出售、求购地址：https://www.jiaokey.com/book/detail/14659685.html</w:t>
      </w:r>
    </w:p>
    <w:p>
      <w:r>
        <w:t>更多相关图书推荐：https://www.jiaokey.com</w:t>
      </w:r>
    </w:p>
    <w:p>
      <w:r>
        <w:t>（瑞士）赫尔佐格和德梅隆建筑事务所等编；贾子光，周荃译 其他作品：https://www.jiaokey.com/tag/（瑞士）赫尔佐格和德梅隆建筑事务所等编；贾子光，周荃译.html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关键词搜索：https://www.jiaokey.com/tag/标识与身份.html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