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黄土高原功能导向型林分结构调控</w:t>
      </w:r>
    </w:p>
    <w:p>
      <w:r>
        <w:rPr>
          <w:rFonts w:ascii="宋体" w:hAnsi="宋体" w:eastAsia="宋体"/>
          <w:sz w:val="24"/>
        </w:rPr>
        <w:t>毕华兴，魏曦等著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黄土高原功能导向型林分结构调控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毕华兴，魏曦等著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本书出售、求购地址：https://www.jiaokey.com/book/detail/14658611.html</w:t>
      </w:r>
    </w:p>
    <w:p>
      <w:r>
        <w:t>更多相关图书推荐：https://www.jiaokey.com</w:t>
      </w:r>
    </w:p>
    <w:p>
      <w:r>
        <w:t>毕华兴，魏曦等著 其他作品：https://www.jiaokey.com/tag/毕华兴，魏曦等著.html</w:t>
      </w:r>
    </w:p>
    <w:p>
      <w:r>
        <w:t>科学出版社 出版图书：https://www.jiaokey.com/tag/科学出版社.html</w:t>
      </w:r>
    </w:p>
    <w:p>
      <w:r>
        <w:t>关键词搜索：https://www.jiaokey.com/tag/黄土高原功能导向型林分结构调控.html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