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优动漫PAINT  决定成为插画师</w:t>
      </w:r>
    </w:p>
    <w:p>
      <w:r>
        <w:rPr>
          <w:rFonts w:ascii="宋体" w:hAnsi="宋体" w:eastAsia="宋体"/>
          <w:sz w:val="24"/>
        </w:rPr>
        <w:t>（日）鸟羽雨，（日）猫枯丽，（日）米卡皮卡早著；联合优创译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优动漫PAINT  决定成为插画师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（日）鸟羽雨，（日）猫枯丽，（日）米卡皮卡早著；联合优创译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本书出售、求购地址：https://www.jiaokey.com/book/detail/14658353.html</w:t>
      </w:r>
    </w:p>
    <w:p>
      <w:r>
        <w:t>更多相关图书推荐：https://www.jiaokey.com</w:t>
      </w:r>
    </w:p>
    <w:p>
      <w:r>
        <w:t>（日）鸟羽雨，（日）猫枯丽，（日）米卡皮卡早著；联合优创译 其他作品：https://www.jiaokey.com/tag/（日）鸟羽雨，（日）猫枯丽，（日）米卡皮卡早著；联合优创译.html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关键词搜索：https://www.jiaokey.com/tag/优动漫PAINT  决定成为插画师.html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