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地基与基础处理工程施工</w:t>
      </w:r>
    </w:p>
    <w:p>
      <w:r>
        <w:rPr>
          <w:rFonts w:ascii="宋体" w:hAnsi="宋体" w:eastAsia="宋体"/>
          <w:sz w:val="24"/>
        </w:rPr>
        <w:t>《水利水电工程施工实用手册》编委会编；赵长海总主编；郭明祥副总主编等编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地基与基础处理工程施工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《水利水电工程施工实用手册》编委会编；赵长海总主编；郭明祥副总主编等编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本书出售、求购地址：https://www.jiaokey.com/book/detail/14658080.html</w:t>
      </w:r>
    </w:p>
    <w:p>
      <w:r>
        <w:t>更多相关图书推荐：https://www.jiaokey.com</w:t>
      </w:r>
    </w:p>
    <w:p>
      <w:r>
        <w:t>《水利水电工程施工实用手册》编委会编；赵长海总主编；郭明祥副总主编等编 其他作品：https://www.jiaokey.com/tag/《水利水电工程施工实用手册》编委会编；赵长海总主编；郭明祥副总主编等编.html</w:t>
      </w:r>
    </w:p>
    <w:p>
      <w:r>
        <w:t>中国环境出版社 出版图书：https://www.jiaokey.com/tag/中国环境出版社.html</w:t>
      </w:r>
    </w:p>
    <w:p>
      <w:r>
        <w:t>关键词搜索：https://www.jiaokey.com/tag/地基与基础处理工程施工.html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