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我国体育用品本土品牌建设  基于产业价值链视角</w:t>
      </w:r>
    </w:p>
    <w:p>
      <w:r>
        <w:rPr>
          <w:rFonts w:ascii="宋体" w:hAnsi="宋体" w:eastAsia="宋体"/>
          <w:sz w:val="24"/>
        </w:rPr>
        <w:t>许兵责任编辑；万翠琳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我国体育用品本土品牌建设  基于产业价值链视角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许兵责任编辑；万翠琳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本书出售、求购地址：https://www.jiaokey.com/book/detail/14657305.html</w:t>
      </w:r>
    </w:p>
    <w:p>
      <w:r>
        <w:t>更多相关图书推荐：https://www.jiaokey.com</w:t>
      </w:r>
    </w:p>
    <w:p>
      <w:r>
        <w:t>许兵责任编辑；万翠琳 其他作品：https://www.jiaokey.com/tag/许兵责任编辑；万翠琳.html</w:t>
      </w:r>
    </w:p>
    <w:p>
      <w:r>
        <w:t>北京：经济管理出版社 出版图书：https://www.jiaokey.com/tag/北京：经济管理出版社.html</w:t>
      </w:r>
    </w:p>
    <w:p>
      <w:r>
        <w:t>关键词搜索：https://www.jiaokey.com/tag/我国体育用品本土品牌建设  基于产业价值链视角.html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