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人工智能本科专业知识体系与课程设置</w:t>
      </w:r>
    </w:p>
    <w:p>
      <w:r>
        <w:rPr>
          <w:rFonts w:ascii="宋体" w:hAnsi="宋体" w:eastAsia="宋体"/>
          <w:sz w:val="24"/>
        </w:rPr>
        <w:t>郑南宁主编；西安交通大学人工智能学院组织编写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人工智能本科专业知识体系与课程设置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郑南宁主编；西安交通大学人工智能学院组织编写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本书出售、求购地址：https://www.jiaokey.com/book/detail/14653740.html</w:t>
      </w:r>
    </w:p>
    <w:p>
      <w:r>
        <w:t>更多相关图书推荐：https://www.jiaokey.com</w:t>
      </w:r>
    </w:p>
    <w:p>
      <w:r>
        <w:t>郑南宁主编；西安交通大学人工智能学院组织编写 其他作品：https://www.jiaokey.com/tag/郑南宁主编；西安交通大学人工智能学院组织编写.html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关键词搜索：https://www.jiaokey.com/tag/人工智能本科专业知识体系与课程设置.html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