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中国工程承包企业海外经营风险与实务应对</w:t>
      </w:r>
    </w:p>
    <w:p>
      <w:r>
        <w:rPr>
          <w:rFonts w:ascii="宋体" w:hAnsi="宋体" w:eastAsia="宋体"/>
          <w:sz w:val="24"/>
        </w:rPr>
        <w:t>慕雪丹责任编辑；常设中国建设工程法律论坛第六工作组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中国工程承包企业海外经营风险与实务应对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慕雪丹责任编辑；常设中国建设工程法律论坛第六工作组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本书出售、求购地址：https://www.jiaokey.com/book/detail/14651168.html</w:t>
      </w:r>
    </w:p>
    <w:p>
      <w:r>
        <w:t>更多相关图书推荐：https://www.jiaokey.com</w:t>
      </w:r>
    </w:p>
    <w:p>
      <w:r>
        <w:t>慕雪丹责任编辑；常设中国建设工程法律论坛第六工作组 其他作品：https://www.jiaokey.com/tag/慕雪丹责任编辑；常设中国建设工程法律论坛第六工作组.html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关键词搜索：https://www.jiaokey.com/tag/中国工程承包企业海外经营风险与实务应对.html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