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主观题应试必备重点法条解读</w:t>
      </w:r>
    </w:p>
    <w:p>
      <w:r>
        <w:rPr>
          <w:rFonts w:ascii="宋体" w:hAnsi="宋体" w:eastAsia="宋体"/>
          <w:sz w:val="24"/>
        </w:rPr>
        <w:t>崔红玉，邓丽亚，卢杨，陈橙，张佳编著；厚大法考组编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主观题应试必备重点法条解读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崔红玉，邓丽亚，卢杨，陈橙，张佳编著；厚大法考组编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本书出售、求购地址：https://www.jiaokey.com/book/detail/14651041.html</w:t>
      </w:r>
    </w:p>
    <w:p>
      <w:r>
        <w:t>更多相关图书推荐：https://www.jiaokey.com</w:t>
      </w:r>
    </w:p>
    <w:p>
      <w:r>
        <w:t>崔红玉，邓丽亚，卢杨，陈橙，张佳编著；厚大法考组编 其他作品：https://www.jiaokey.com/tag/崔红玉，邓丽亚，卢杨，陈橙，张佳编著；厚大法考组编.html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关键词搜索：https://www.jiaokey.com/tag/主观题应试必备重点法条解读.html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