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  案例版  第3版</w:t>
      </w:r>
    </w:p>
    <w:p>
      <w:r>
        <w:rPr>
          <w:rFonts w:ascii="宋体" w:hAnsi="宋体" w:eastAsia="宋体"/>
          <w:sz w:val="24"/>
        </w:rPr>
        <w:t>税青林主编；申本昌，唐艳平，焦海燕，聂晨霞等副主编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  案例版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税青林主编；申本昌，唐艳平，焦海燕，聂晨霞等副主编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本书出售、求购地址：https://www.jiaokey.com/book/detail/14648758.html</w:t>
      </w:r>
    </w:p>
    <w:p>
      <w:r>
        <w:t>更多相关图书推荐：https://www.jiaokey.com</w:t>
      </w:r>
    </w:p>
    <w:p>
      <w:r>
        <w:t>税青林主编；申本昌，唐艳平，焦海燕，聂晨霞等副主编 其他作品：https://www.jiaokey.com/tag/税青林主编；申本昌，唐艳平，焦海燕，聂晨霞等副主编.html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关键词搜索：https://www.jiaokey.com/tag/医学遗传学  案例版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