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主权财富基金的监管因应与治理改革  以中投公司为例</w:t>
      </w:r>
    </w:p>
    <w:p>
      <w:r>
        <w:rPr>
          <w:rFonts w:ascii="宋体" w:hAnsi="宋体" w:eastAsia="宋体"/>
          <w:sz w:val="24"/>
        </w:rPr>
        <w:t>郭雳著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主权财富基金的监管因应与治理改革  以中投公司为例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本书出售、求购地址：https://www.jiaokey.com/book/detail/14647816.html</w:t>
      </w:r>
    </w:p>
    <w:p>
      <w:r>
        <w:t>更多相关图书推荐：https://www.jiaokey.com</w:t>
      </w:r>
    </w:p>
    <w:p>
      <w:r>
        <w:t>郭雳著 其他作品：https://www.jiaokey.com/tag/郭雳著.html</w:t>
      </w:r>
    </w:p>
    <w:p>
      <w:r>
        <w:t>关键词搜索：https://www.jiaokey.com/tag/主权财富基金的监管因应与治理改革  以中投公司为例.html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